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диагностике детей младшего 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диагностике детей младшего школьного возраста»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«Практикум по диагностике детей младшего 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диагностике детей младшего 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 развивающие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3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межкультурного взаимодействия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навыками действий в условиях неопределенности, корректируя планы и шаги по их реализации с учетом имеющихся ресурсов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«Практикум по диагностике детей младшего школьного возраста» относится к обязательной части, является дисциплиной Блока Б1. «Дисциплины (модули)». Модуль "Технологии психолого-педагогической диагностики и просвещения"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ПК-5, УК-5,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Стратегия диагностики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Диагностика индивидных особенностей детей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2.Диагностика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Диагностика речевого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Диагностика процессов памяти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Диагностика развития личности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6.Методики диагностики интеллектуальных способностей мл.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6773.61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Характеристика младшего школьного возраста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Стратегия диагностики развития младшего школьника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Диагностика индивидных особенностей детей младшего школьника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2.Диагностика личности младшего школьника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Диагностика речевого развития младшего школьника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Диагностика процессов памяти младшего школьника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Диагностика развития личности  младших школьников.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6.Методики диагностики интеллектуальных способностей мл. школьника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диагностике детей младшего школьного возраста»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психодиагностике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https://urait.ru/bcode/469773</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Психодиагностический</w:t>
            </w:r>
            <w:r>
              <w:rPr/>
              <w:t xml:space="preserve"> </w:t>
            </w:r>
            <w:r>
              <w:rPr>
                <w:rFonts w:ascii="Times New Roman" w:hAnsi="Times New Roman" w:cs="Times New Roman"/>
                <w:color w:val="#000000"/>
                <w:sz w:val="24"/>
                <w:szCs w:val="24"/>
              </w:rPr>
              <w:t>комплекс</w:t>
            </w:r>
            <w:r>
              <w:rPr/>
              <w:t xml:space="preserve"> </w:t>
            </w:r>
            <w:r>
              <w:rPr>
                <w:rFonts w:ascii="Times New Roman" w:hAnsi="Times New Roman" w:cs="Times New Roman"/>
                <w:color w:val="#000000"/>
                <w:sz w:val="24"/>
                <w:szCs w:val="24"/>
              </w:rPr>
              <w:t>методик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определения</w:t>
            </w:r>
            <w:r>
              <w:rPr/>
              <w:t xml:space="preserve"> </w:t>
            </w:r>
            <w:r>
              <w:rPr>
                <w:rFonts w:ascii="Times New Roman" w:hAnsi="Times New Roman" w:cs="Times New Roman"/>
                <w:color w:val="#000000"/>
                <w:sz w:val="24"/>
                <w:szCs w:val="24"/>
              </w:rPr>
              <w:t>уровня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Переслени,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Психодиагностический</w:t>
            </w:r>
            <w:r>
              <w:rPr/>
              <w:t xml:space="preserve"> </w:t>
            </w:r>
            <w:r>
              <w:rPr>
                <w:rFonts w:ascii="Times New Roman" w:hAnsi="Times New Roman" w:cs="Times New Roman"/>
                <w:color w:val="#000000"/>
                <w:sz w:val="24"/>
                <w:szCs w:val="24"/>
              </w:rPr>
              <w:t>комплекс</w:t>
            </w:r>
            <w:r>
              <w:rPr/>
              <w:t xml:space="preserve"> </w:t>
            </w:r>
            <w:r>
              <w:rPr>
                <w:rFonts w:ascii="Times New Roman" w:hAnsi="Times New Roman" w:cs="Times New Roman"/>
                <w:color w:val="#000000"/>
                <w:sz w:val="24"/>
                <w:szCs w:val="24"/>
              </w:rPr>
              <w:t>методик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определения</w:t>
            </w:r>
            <w:r>
              <w:rPr/>
              <w:t xml:space="preserve"> </w:t>
            </w:r>
            <w:r>
              <w:rPr>
                <w:rFonts w:ascii="Times New Roman" w:hAnsi="Times New Roman" w:cs="Times New Roman"/>
                <w:color w:val="#000000"/>
                <w:sz w:val="24"/>
                <w:szCs w:val="24"/>
              </w:rPr>
              <w:t>уровня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5-89353-001-2.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http://www.iprbookshop.ru/88298.html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Психодиагностический</w:t>
            </w:r>
            <w:r>
              <w:rPr/>
              <w:t xml:space="preserve"> </w:t>
            </w:r>
            <w:r>
              <w:rPr>
                <w:rFonts w:ascii="Times New Roman" w:hAnsi="Times New Roman" w:cs="Times New Roman"/>
                <w:color w:val="#000000"/>
                <w:sz w:val="24"/>
                <w:szCs w:val="24"/>
              </w:rPr>
              <w:t>комплекс</w:t>
            </w:r>
            <w:r>
              <w:rPr/>
              <w:t xml:space="preserve"> </w:t>
            </w:r>
            <w:r>
              <w:rPr>
                <w:rFonts w:ascii="Times New Roman" w:hAnsi="Times New Roman" w:cs="Times New Roman"/>
                <w:color w:val="#000000"/>
                <w:sz w:val="24"/>
                <w:szCs w:val="24"/>
              </w:rPr>
              <w:t>методик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определения</w:t>
            </w:r>
            <w:r>
              <w:rPr/>
              <w:t xml:space="preserve"> </w:t>
            </w:r>
            <w:r>
              <w:rPr>
                <w:rFonts w:ascii="Times New Roman" w:hAnsi="Times New Roman" w:cs="Times New Roman"/>
                <w:color w:val="#000000"/>
                <w:sz w:val="24"/>
                <w:szCs w:val="24"/>
              </w:rPr>
              <w:t>уровня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Переслени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Психодиагностический</w:t>
            </w:r>
            <w:r>
              <w:rPr/>
              <w:t xml:space="preserve"> </w:t>
            </w:r>
            <w:r>
              <w:rPr>
                <w:rFonts w:ascii="Times New Roman" w:hAnsi="Times New Roman" w:cs="Times New Roman"/>
                <w:color w:val="#000000"/>
                <w:sz w:val="24"/>
                <w:szCs w:val="24"/>
              </w:rPr>
              <w:t>комплекс</w:t>
            </w:r>
            <w:r>
              <w:rPr/>
              <w:t xml:space="preserve"> </w:t>
            </w:r>
            <w:r>
              <w:rPr>
                <w:rFonts w:ascii="Times New Roman" w:hAnsi="Times New Roman" w:cs="Times New Roman"/>
                <w:color w:val="#000000"/>
                <w:sz w:val="24"/>
                <w:szCs w:val="24"/>
              </w:rPr>
              <w:t>методик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определения</w:t>
            </w:r>
            <w:r>
              <w:rPr/>
              <w:t xml:space="preserve"> </w:t>
            </w:r>
            <w:r>
              <w:rPr>
                <w:rFonts w:ascii="Times New Roman" w:hAnsi="Times New Roman" w:cs="Times New Roman"/>
                <w:color w:val="#000000"/>
                <w:sz w:val="24"/>
                <w:szCs w:val="24"/>
              </w:rPr>
              <w:t>уровня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1996.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5-89353-001-2.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http://www.iprbookshop.ru/3861.html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Неуспевающие</w:t>
            </w:r>
            <w:r>
              <w:rPr/>
              <w:t xml:space="preserve"> </w:t>
            </w:r>
            <w:r>
              <w:rPr>
                <w:rFonts w:ascii="Times New Roman" w:hAnsi="Times New Roman" w:cs="Times New Roman"/>
                <w:color w:val="#000000"/>
                <w:sz w:val="24"/>
                <w:szCs w:val="24"/>
              </w:rPr>
              <w:t>дети:</w:t>
            </w:r>
            <w:r>
              <w:rPr/>
              <w:t xml:space="preserve"> </w:t>
            </w:r>
            <w:r>
              <w:rPr>
                <w:rFonts w:ascii="Times New Roman" w:hAnsi="Times New Roman" w:cs="Times New Roman"/>
                <w:color w:val="#000000"/>
                <w:sz w:val="24"/>
                <w:szCs w:val="24"/>
              </w:rPr>
              <w:t>нейропсихологическая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Корсакова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Микадзе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Балашова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978-5-534-09134-2.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https://urait.ru/bcode/437414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74.8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19.9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2024-2025_ФГОС3++2024_Маг-ЗФО-ППО(ДПП)(24)_plx_Практикум по диагностике детей младшего школьного возраста</dc:title>
  <dc:creator>FastReport.NET</dc:creator>
</cp:coreProperties>
</file>